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仿宋" w:hAnsi="仿宋" w:eastAsia="方正小标宋简体" w:cs="仿宋"/>
          <w:sz w:val="32"/>
          <w:szCs w:val="32"/>
        </w:rPr>
      </w:pPr>
      <w:r>
        <w:rPr>
          <w:rFonts w:hint="eastAsia" w:ascii="方正小标宋简体" w:eastAsia="方正小标宋简体" w:hAnsiTheme="majorEastAsia" w:cstheme="majorEastAsia"/>
          <w:bCs/>
          <w:sz w:val="36"/>
          <w:szCs w:val="36"/>
        </w:rPr>
        <w:t>青岛理工大学202</w:t>
      </w:r>
      <w:r>
        <w:rPr>
          <w:rFonts w:ascii="方正小标宋简体" w:eastAsia="方正小标宋简体" w:hAnsiTheme="majorEastAsia" w:cstheme="majorEastAsia"/>
          <w:bCs/>
          <w:sz w:val="36"/>
          <w:szCs w:val="36"/>
        </w:rPr>
        <w:t>1</w:t>
      </w:r>
      <w:r>
        <w:rPr>
          <w:rFonts w:hint="eastAsia" w:ascii="方正小标宋简体" w:eastAsia="方正小标宋简体" w:hAnsiTheme="majorEastAsia" w:cstheme="majorEastAsia"/>
          <w:bCs/>
          <w:sz w:val="36"/>
          <w:szCs w:val="36"/>
        </w:rPr>
        <w:t>年工作人员年度考核工作方案</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为做好202</w:t>
      </w:r>
      <w:r>
        <w:rPr>
          <w:rFonts w:ascii="仿宋_GB2312" w:hAnsi="仿宋" w:eastAsia="仿宋_GB2312" w:cs="仿宋"/>
          <w:sz w:val="32"/>
          <w:szCs w:val="32"/>
        </w:rPr>
        <w:t>1</w:t>
      </w:r>
      <w:r>
        <w:rPr>
          <w:rFonts w:hint="eastAsia" w:ascii="仿宋_GB2312" w:hAnsi="仿宋" w:eastAsia="仿宋_GB2312" w:cs="仿宋"/>
          <w:sz w:val="32"/>
          <w:szCs w:val="32"/>
        </w:rPr>
        <w:t>年度工作人员年度考核工作，根据《山东省事业单位工作人员考核办法》（鲁人社发</w:t>
      </w:r>
      <w:r>
        <w:rPr>
          <w:rFonts w:hint="eastAsia" w:ascii="宋体" w:hAnsi="宋体" w:eastAsia="宋体" w:cs="宋体"/>
          <w:sz w:val="32"/>
          <w:szCs w:val="32"/>
        </w:rPr>
        <w:t>﹝</w:t>
      </w:r>
      <w:r>
        <w:rPr>
          <w:rFonts w:hint="eastAsia" w:ascii="仿宋_GB2312" w:hAnsi="仿宋" w:eastAsia="仿宋_GB2312" w:cs="仿宋"/>
          <w:sz w:val="32"/>
          <w:szCs w:val="32"/>
        </w:rPr>
        <w:t>2017</w:t>
      </w:r>
      <w:r>
        <w:rPr>
          <w:rFonts w:hint="eastAsia" w:ascii="宋体" w:hAnsi="宋体" w:eastAsia="宋体" w:cs="宋体"/>
          <w:sz w:val="32"/>
          <w:szCs w:val="32"/>
        </w:rPr>
        <w:t>﹞</w:t>
      </w:r>
      <w:r>
        <w:rPr>
          <w:rFonts w:hint="eastAsia" w:ascii="仿宋_GB2312" w:hAnsi="仿宋" w:eastAsia="仿宋_GB2312" w:cs="仿宋"/>
          <w:sz w:val="32"/>
          <w:szCs w:val="32"/>
        </w:rPr>
        <w:t>45号）、《中共山东省委组织部山东省人力资源和社会保障厅关于做好2</w:t>
      </w:r>
      <w:r>
        <w:rPr>
          <w:rFonts w:ascii="仿宋_GB2312" w:hAnsi="仿宋" w:eastAsia="仿宋_GB2312" w:cs="仿宋"/>
          <w:sz w:val="32"/>
          <w:szCs w:val="32"/>
        </w:rPr>
        <w:t>0</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年省属事业单位工作人员年度考核工作的通知》（鲁人社字</w:t>
      </w:r>
      <w:r>
        <w:rPr>
          <w:rFonts w:hint="eastAsia" w:ascii="宋体" w:hAnsi="宋体" w:eastAsia="宋体" w:cs="宋体"/>
          <w:sz w:val="32"/>
          <w:szCs w:val="32"/>
        </w:rPr>
        <w:t>﹝</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69</w:t>
      </w:r>
      <w:bookmarkStart w:id="0" w:name="_GoBack"/>
      <w:bookmarkEnd w:id="0"/>
      <w:r>
        <w:rPr>
          <w:rFonts w:hint="eastAsia" w:ascii="仿宋_GB2312" w:hAnsi="仿宋" w:eastAsia="仿宋_GB2312" w:cs="仿宋"/>
          <w:sz w:val="32"/>
          <w:szCs w:val="32"/>
        </w:rPr>
        <w:t>号）</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《青岛理工大学工作人员年度考核办法（试行）》（青理工校发</w:t>
      </w:r>
      <w:r>
        <w:rPr>
          <w:rFonts w:hint="eastAsia" w:ascii="宋体" w:hAnsi="宋体" w:eastAsia="宋体" w:cs="宋体"/>
          <w:sz w:val="32"/>
          <w:szCs w:val="32"/>
        </w:rPr>
        <w:t>﹝</w:t>
      </w:r>
      <w:r>
        <w:rPr>
          <w:rFonts w:hint="eastAsia" w:ascii="仿宋_GB2312" w:hAnsi="仿宋" w:eastAsia="仿宋_GB2312" w:cs="仿宋"/>
          <w:sz w:val="32"/>
          <w:szCs w:val="32"/>
        </w:rPr>
        <w:t>2018</w:t>
      </w:r>
      <w:r>
        <w:rPr>
          <w:rFonts w:hint="eastAsia" w:ascii="宋体" w:hAnsi="宋体" w:eastAsia="宋体" w:cs="宋体"/>
          <w:sz w:val="32"/>
          <w:szCs w:val="32"/>
        </w:rPr>
        <w:t>﹞</w:t>
      </w:r>
      <w:r>
        <w:rPr>
          <w:rFonts w:hint="eastAsia" w:ascii="仿宋_GB2312" w:hAnsi="仿宋" w:eastAsia="仿宋_GB2312" w:cs="仿宋"/>
          <w:sz w:val="32"/>
          <w:szCs w:val="32"/>
        </w:rPr>
        <w:t>29号）等有关文件精神，结合学校实际，制定本方案。</w:t>
      </w:r>
    </w:p>
    <w:p>
      <w:pPr>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一、考核对象</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聘用在专业技术岗位、管理岗位和工勤技能岗位上的人员控制总量内工作人员。</w:t>
      </w:r>
    </w:p>
    <w:p>
      <w:pPr>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二、考核内容及标准</w:t>
      </w:r>
    </w:p>
    <w:p>
      <w:pPr>
        <w:spacing w:line="52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（一）师德考核内容与标准</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师德考核主要是对教师职业道德的考核，具体考核教师在政治方向、人才培养、科学研究、学校管理、社会活动等方面遵循职业行为准则和规范的情况。师德考核内容和标准</w:t>
      </w:r>
      <w:r>
        <w:rPr>
          <w:rFonts w:hint="eastAsia" w:ascii="仿宋_GB2312" w:hAnsi="仿宋" w:eastAsia="仿宋_GB2312" w:cs="仿宋"/>
          <w:sz w:val="32"/>
          <w:szCs w:val="32"/>
          <w:lang w:val="en-US" w:eastAsia="zh-CN"/>
        </w:rPr>
        <w:t>见《青岛理工大学教师师德考核办法》</w:t>
      </w:r>
      <w:r>
        <w:rPr>
          <w:rFonts w:hint="eastAsia" w:ascii="仿宋_GB2312" w:hAnsi="仿宋" w:eastAsia="仿宋_GB2312" w:cs="仿宋"/>
          <w:sz w:val="32"/>
          <w:szCs w:val="32"/>
        </w:rPr>
        <w:t>。</w:t>
      </w:r>
    </w:p>
    <w:p>
      <w:pPr>
        <w:pStyle w:val="5"/>
        <w:adjustRightInd w:val="0"/>
        <w:snapToGrid w:val="0"/>
        <w:spacing w:beforeAutospacing="0" w:afterAutospacing="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（二）年度考核内容与标准</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考核内容包括德、能、勤、绩、廉五个方面，重点考核工作实绩。</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考核基本标准见《青岛理工大学工作人员年度考核办法（试行）》，二级单位可根据实际情况自行制定具体标准。</w:t>
      </w:r>
    </w:p>
    <w:p>
      <w:pPr>
        <w:spacing w:line="520" w:lineRule="exact"/>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三、考核方法及结果使用</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（一）师德考核方法与结果使用</w:t>
      </w:r>
    </w:p>
    <w:p>
      <w:pPr>
        <w:spacing w:line="520" w:lineRule="exact"/>
        <w:ind w:firstLine="640" w:firstLineChars="200"/>
        <w:rPr>
          <w:rFonts w:ascii="仿宋_GB2312" w:hAnsi="仿宋" w:eastAsia="仿宋_GB2312" w:cs="仿宋"/>
          <w:sz w:val="32"/>
          <w:szCs w:val="32"/>
          <w:highlight w:val="red"/>
        </w:rPr>
      </w:pPr>
      <w:r>
        <w:rPr>
          <w:rFonts w:hint="eastAsia" w:ascii="仿宋_GB2312" w:hAnsi="仿宋" w:eastAsia="仿宋_GB2312" w:cs="仿宋"/>
          <w:sz w:val="32"/>
          <w:szCs w:val="32"/>
        </w:rPr>
        <w:t>二级单位考核工作小组对照有关规定，确定师德考核初步意见和考核档次。对拟作出师德考核不合格的，二级单位应告知当事人认定的事实及依据。经党政联席会讨论同意并签署意见后报教师工作部。教师工作部审核二级单位的师德考核初步意见，确定师德考核结果，报学校工作人员年度考核领导小组，同时将不合格名单返回二级单位考核工作小组。</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师德考核等次分为优秀、合格、不合格。师德考核不合格的教师，年度考核定为不合格。师德考核结果作为专业技术职务评审、岗位聘用、工资晋级、干部选任、人才计划申报、科研项目申报、评奖评优、绩效考核、纪律处分等工作的重要依据。</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（二）年度考核方法与结果使用</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年度考核根据考核对象的不同，</w:t>
      </w:r>
      <w:r>
        <w:rPr>
          <w:rFonts w:hint="eastAsia" w:ascii="仿宋_GB2312" w:hAnsi="仿宋" w:eastAsia="仿宋_GB2312" w:cs="仿宋"/>
          <w:sz w:val="32"/>
          <w:szCs w:val="32"/>
          <w:lang w:val="en-US" w:eastAsia="zh-CN"/>
        </w:rPr>
        <w:t>使用</w:t>
      </w:r>
      <w:r>
        <w:rPr>
          <w:rFonts w:hint="eastAsia" w:ascii="仿宋_GB2312" w:hAnsi="仿宋" w:eastAsia="仿宋_GB2312" w:cs="仿宋"/>
          <w:sz w:val="32"/>
          <w:szCs w:val="32"/>
        </w:rPr>
        <w:t>综合评价方法进行。考核要注重实效、简便易行、便于操作。</w:t>
      </w:r>
    </w:p>
    <w:p>
      <w:pPr>
        <w:spacing w:line="52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sz w:val="32"/>
          <w:szCs w:val="32"/>
        </w:rPr>
        <w:t>年度考核结果分为优秀、合格、基本合格和不合格四个档次，考核结果作为调整工作人员岗位、增加薪级工资、发放绩效和计算任职年限等的依据，</w:t>
      </w:r>
      <w:r>
        <w:rPr>
          <w:rFonts w:hint="eastAsia" w:ascii="仿宋_GB2312" w:hAnsi="仿宋" w:eastAsia="仿宋_GB2312" w:cs="仿宋"/>
          <w:bCs/>
          <w:sz w:val="32"/>
          <w:szCs w:val="32"/>
        </w:rPr>
        <w:t>直接与职务晋升、职称评定、岗位聘用、评奖评优、福利待遇等挂钩。</w:t>
      </w:r>
    </w:p>
    <w:p>
      <w:pPr>
        <w:spacing w:line="52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年度考核为合格及以上档次的</w:t>
      </w:r>
      <w:r>
        <w:rPr>
          <w:rFonts w:hint="eastAsia" w:ascii="仿宋_GB2312" w:hAnsi="仿宋" w:eastAsia="仿宋_GB2312" w:cs="仿宋"/>
          <w:bCs/>
          <w:sz w:val="32"/>
          <w:szCs w:val="32"/>
        </w:rPr>
        <w:t>，</w:t>
      </w:r>
      <w:r>
        <w:rPr>
          <w:rFonts w:ascii="仿宋_GB2312" w:hAnsi="仿宋" w:eastAsia="仿宋_GB2312" w:cs="仿宋"/>
          <w:bCs/>
          <w:sz w:val="32"/>
          <w:szCs w:val="32"/>
        </w:rPr>
        <w:t>发放奖励性绩效工资</w:t>
      </w:r>
      <w:r>
        <w:rPr>
          <w:rFonts w:hint="eastAsia" w:ascii="仿宋_GB2312" w:hAnsi="仿宋" w:eastAsia="仿宋_GB2312" w:cs="仿宋"/>
          <w:bCs/>
          <w:sz w:val="32"/>
          <w:szCs w:val="32"/>
        </w:rPr>
        <w:t>；考核</w:t>
      </w:r>
      <w:r>
        <w:rPr>
          <w:rFonts w:ascii="仿宋_GB2312" w:hAnsi="仿宋" w:eastAsia="仿宋_GB2312" w:cs="仿宋"/>
          <w:bCs/>
          <w:sz w:val="32"/>
          <w:szCs w:val="32"/>
        </w:rPr>
        <w:t>为基本合格档次的</w:t>
      </w:r>
      <w:r>
        <w:rPr>
          <w:rFonts w:hint="eastAsia" w:ascii="仿宋_GB2312" w:hAnsi="仿宋" w:eastAsia="仿宋_GB2312" w:cs="仿宋"/>
          <w:bCs/>
          <w:sz w:val="32"/>
          <w:szCs w:val="32"/>
        </w:rPr>
        <w:t>，核减年度奖励性绩效工资的50%；考核为</w:t>
      </w:r>
      <w:r>
        <w:rPr>
          <w:rFonts w:ascii="仿宋_GB2312" w:hAnsi="仿宋" w:eastAsia="仿宋_GB2312" w:cs="仿宋"/>
          <w:bCs/>
          <w:sz w:val="32"/>
          <w:szCs w:val="32"/>
        </w:rPr>
        <w:t>不合格</w:t>
      </w:r>
      <w:r>
        <w:rPr>
          <w:rFonts w:hint="eastAsia" w:ascii="仿宋_GB2312" w:hAnsi="仿宋" w:eastAsia="仿宋_GB2312" w:cs="仿宋"/>
          <w:bCs/>
          <w:sz w:val="32"/>
          <w:szCs w:val="32"/>
        </w:rPr>
        <w:t>档</w:t>
      </w:r>
      <w:r>
        <w:rPr>
          <w:rFonts w:ascii="仿宋_GB2312" w:hAnsi="仿宋" w:eastAsia="仿宋_GB2312" w:cs="仿宋"/>
          <w:bCs/>
          <w:sz w:val="32"/>
          <w:szCs w:val="32"/>
        </w:rPr>
        <w:t>次的</w:t>
      </w:r>
      <w:r>
        <w:rPr>
          <w:rFonts w:hint="eastAsia" w:ascii="仿宋_GB2312" w:hAnsi="仿宋" w:eastAsia="仿宋_GB2312" w:cs="仿宋"/>
          <w:bCs/>
          <w:sz w:val="32"/>
          <w:szCs w:val="32"/>
        </w:rPr>
        <w:t>，核减全部年度奖励性绩效工资。</w:t>
      </w:r>
    </w:p>
    <w:p>
      <w:pPr>
        <w:spacing w:line="520" w:lineRule="exact"/>
        <w:ind w:firstLine="640" w:firstLineChars="200"/>
        <w:rPr>
          <w:rFonts w:hint="eastAsia" w:ascii="仿宋_GB2312" w:hAnsi="仿宋" w:eastAsia="仿宋_GB2312" w:cs="仿宋"/>
          <w:bCs/>
          <w:sz w:val="32"/>
          <w:szCs w:val="32"/>
        </w:rPr>
      </w:pPr>
    </w:p>
    <w:p>
      <w:pPr>
        <w:shd w:val="clear" w:color="auto" w:fill="FFFFFF"/>
        <w:adjustRightInd w:val="0"/>
        <w:snapToGrid w:val="0"/>
        <w:spacing w:line="560" w:lineRule="exact"/>
        <w:ind w:firstLine="504" w:firstLineChars="200"/>
        <w:jc w:val="center"/>
        <w:rPr>
          <w:rFonts w:ascii="楷体_GB2312" w:hAnsi="仿宋" w:eastAsia="楷体_GB2312" w:cs="Times New Roman"/>
          <w:w w:val="90"/>
          <w:sz w:val="28"/>
          <w:szCs w:val="28"/>
        </w:rPr>
      </w:pPr>
      <w:r>
        <w:rPr>
          <w:rFonts w:hint="eastAsia" w:ascii="楷体_GB2312" w:hAnsi="仿宋" w:eastAsia="楷体_GB2312" w:cs="Times New Roman"/>
          <w:w w:val="90"/>
          <w:sz w:val="28"/>
          <w:szCs w:val="28"/>
        </w:rPr>
        <w:t>表：年度考核结果对应国家基本工资和校内绩效工资分配表</w:t>
      </w:r>
    </w:p>
    <w:tbl>
      <w:tblPr>
        <w:tblStyle w:val="6"/>
        <w:tblW w:w="8833" w:type="dxa"/>
        <w:jc w:val="center"/>
        <w:tblLayout w:type="fixed"/>
        <w:tblCellMar>
          <w:top w:w="0" w:type="dxa"/>
          <w:left w:w="108" w:type="dxa"/>
          <w:bottom w:w="0" w:type="dxa"/>
          <w:right w:w="108" w:type="dxa"/>
        </w:tblCellMar>
      </w:tblPr>
      <w:tblGrid>
        <w:gridCol w:w="1319"/>
        <w:gridCol w:w="1984"/>
        <w:gridCol w:w="1275"/>
        <w:gridCol w:w="1276"/>
        <w:gridCol w:w="1698"/>
        <w:gridCol w:w="1281"/>
      </w:tblGrid>
      <w:tr>
        <w:tblPrEx>
          <w:tblCellMar>
            <w:top w:w="0" w:type="dxa"/>
            <w:left w:w="108" w:type="dxa"/>
            <w:bottom w:w="0" w:type="dxa"/>
            <w:right w:w="108" w:type="dxa"/>
          </w:tblCellMar>
        </w:tblPrEx>
        <w:trPr>
          <w:trHeight w:val="454" w:hRule="atLeast"/>
          <w:jc w:val="center"/>
        </w:trPr>
        <w:tc>
          <w:tcPr>
            <w:tcW w:w="1319" w:type="dxa"/>
            <w:vMerge w:val="restart"/>
            <w:tcBorders>
              <w:top w:val="single" w:color="auto" w:sz="4" w:space="0"/>
              <w:left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黑体" w:hAnsi="黑体" w:eastAsia="黑体" w:cs="Times New Roman"/>
                <w:bCs/>
                <w:szCs w:val="24"/>
              </w:rPr>
            </w:pPr>
            <w:r>
              <w:rPr>
                <w:rFonts w:hint="eastAsia" w:ascii="黑体" w:hAnsi="黑体" w:eastAsia="黑体" w:cs="Times New Roman"/>
                <w:bCs/>
                <w:szCs w:val="24"/>
              </w:rPr>
              <w:t>项目</w:t>
            </w:r>
          </w:p>
        </w:tc>
        <w:tc>
          <w:tcPr>
            <w:tcW w:w="1984"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黑体" w:hAnsi="黑体" w:eastAsia="黑体" w:cs="Times New Roman"/>
                <w:szCs w:val="24"/>
              </w:rPr>
            </w:pPr>
            <w:r>
              <w:rPr>
                <w:rFonts w:hint="eastAsia" w:ascii="黑体" w:hAnsi="黑体" w:eastAsia="黑体" w:cs="Times New Roman"/>
                <w:szCs w:val="24"/>
              </w:rPr>
              <w:t>考核等级</w:t>
            </w:r>
          </w:p>
        </w:tc>
        <w:tc>
          <w:tcPr>
            <w:tcW w:w="127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line="560" w:lineRule="exact"/>
              <w:ind w:left="-17" w:leftChars="-8" w:firstLine="420" w:firstLineChars="200"/>
              <w:rPr>
                <w:rFonts w:ascii="黑体" w:hAnsi="黑体" w:eastAsia="黑体" w:cs="Times New Roman"/>
                <w:szCs w:val="24"/>
              </w:rPr>
            </w:pPr>
            <w:r>
              <w:rPr>
                <w:rFonts w:hint="eastAsia" w:ascii="黑体" w:hAnsi="黑体" w:eastAsia="黑体" w:cs="Times New Roman"/>
                <w:szCs w:val="24"/>
              </w:rPr>
              <w:t>优秀</w:t>
            </w:r>
          </w:p>
        </w:tc>
        <w:tc>
          <w:tcPr>
            <w:tcW w:w="127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line="560" w:lineRule="exact"/>
              <w:ind w:left="-15" w:leftChars="-7" w:firstLine="420" w:firstLineChars="200"/>
              <w:rPr>
                <w:rFonts w:hint="eastAsia" w:ascii="黑体" w:hAnsi="黑体" w:eastAsia="黑体" w:cs="Times New Roman"/>
                <w:szCs w:val="24"/>
                <w:lang w:eastAsia="zh-CN"/>
              </w:rPr>
            </w:pPr>
            <w:r>
              <w:rPr>
                <w:rFonts w:hint="eastAsia" w:ascii="黑体" w:hAnsi="黑体" w:eastAsia="黑体" w:cs="Times New Roman"/>
                <w:szCs w:val="24"/>
                <w:lang w:val="en-US" w:eastAsia="zh-CN"/>
              </w:rPr>
              <w:t>合格</w:t>
            </w:r>
          </w:p>
        </w:tc>
        <w:tc>
          <w:tcPr>
            <w:tcW w:w="1698"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line="560" w:lineRule="exact"/>
              <w:ind w:left="-15" w:leftChars="-7" w:firstLine="420" w:firstLineChars="200"/>
              <w:rPr>
                <w:rFonts w:hint="eastAsia" w:ascii="黑体" w:hAnsi="黑体" w:eastAsia="黑体" w:cs="Times New Roman"/>
                <w:szCs w:val="24"/>
                <w:lang w:eastAsia="zh-CN"/>
              </w:rPr>
            </w:pPr>
            <w:r>
              <w:rPr>
                <w:rFonts w:hint="eastAsia" w:ascii="黑体" w:hAnsi="黑体" w:eastAsia="黑体" w:cs="Times New Roman"/>
                <w:szCs w:val="24"/>
              </w:rPr>
              <w:t>基本</w:t>
            </w:r>
            <w:r>
              <w:rPr>
                <w:rFonts w:hint="eastAsia" w:ascii="黑体" w:hAnsi="黑体" w:eastAsia="黑体" w:cs="Times New Roman"/>
                <w:szCs w:val="24"/>
                <w:lang w:val="en-US" w:eastAsia="zh-CN"/>
              </w:rPr>
              <w:t>合格</w:t>
            </w:r>
          </w:p>
        </w:tc>
        <w:tc>
          <w:tcPr>
            <w:tcW w:w="128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line="560" w:lineRule="exact"/>
              <w:ind w:left="-8" w:leftChars="-4" w:firstLine="420" w:firstLineChars="200"/>
              <w:rPr>
                <w:rFonts w:hint="eastAsia" w:ascii="黑体" w:hAnsi="黑体" w:eastAsia="黑体" w:cs="Times New Roman"/>
                <w:szCs w:val="24"/>
                <w:lang w:eastAsia="zh-CN"/>
              </w:rPr>
            </w:pPr>
            <w:r>
              <w:rPr>
                <w:rFonts w:hint="eastAsia" w:ascii="黑体" w:hAnsi="黑体" w:eastAsia="黑体" w:cs="Times New Roman"/>
                <w:szCs w:val="24"/>
              </w:rPr>
              <w:t>不</w:t>
            </w:r>
            <w:r>
              <w:rPr>
                <w:rFonts w:hint="eastAsia" w:ascii="黑体" w:hAnsi="黑体" w:eastAsia="黑体" w:cs="Times New Roman"/>
                <w:szCs w:val="24"/>
                <w:lang w:val="en-US" w:eastAsia="zh-CN"/>
              </w:rPr>
              <w:t>合格</w:t>
            </w:r>
          </w:p>
        </w:tc>
      </w:tr>
      <w:tr>
        <w:tblPrEx>
          <w:tblCellMar>
            <w:top w:w="0" w:type="dxa"/>
            <w:left w:w="108" w:type="dxa"/>
            <w:bottom w:w="0" w:type="dxa"/>
            <w:right w:w="108" w:type="dxa"/>
          </w:tblCellMar>
        </w:tblPrEx>
        <w:trPr>
          <w:trHeight w:val="454" w:hRule="atLeast"/>
          <w:jc w:val="center"/>
        </w:trPr>
        <w:tc>
          <w:tcPr>
            <w:tcW w:w="1319" w:type="dxa"/>
            <w:vMerge w:val="continue"/>
            <w:tcBorders>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黑体" w:hAnsi="黑体" w:eastAsia="黑体" w:cs="Times New Roman"/>
                <w:bCs/>
                <w:szCs w:val="24"/>
              </w:rPr>
            </w:pPr>
          </w:p>
        </w:tc>
        <w:tc>
          <w:tcPr>
            <w:tcW w:w="1984" w:type="dxa"/>
            <w:tcBorders>
              <w:top w:val="nil"/>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楷体_GB2312" w:hAnsi="仿宋" w:eastAsia="楷体_GB2312" w:cs="Times New Roman"/>
                <w:szCs w:val="24"/>
              </w:rPr>
            </w:pPr>
            <w:r>
              <w:rPr>
                <w:rFonts w:hint="eastAsia" w:ascii="楷体_GB2312" w:hAnsi="仿宋" w:eastAsia="楷体_GB2312" w:cs="Times New Roman"/>
                <w:szCs w:val="24"/>
              </w:rPr>
              <w:t>比例</w:t>
            </w:r>
          </w:p>
        </w:tc>
        <w:tc>
          <w:tcPr>
            <w:tcW w:w="1275"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楷体_GB2312" w:hAnsi="仿宋" w:eastAsia="楷体_GB2312" w:cs="Times New Roman"/>
                <w:szCs w:val="24"/>
              </w:rPr>
            </w:pPr>
            <w:r>
              <w:rPr>
                <w:rFonts w:hint="eastAsia" w:ascii="楷体_GB2312" w:hAnsi="仿宋" w:eastAsia="楷体_GB2312" w:cs="Times New Roman"/>
                <w:szCs w:val="24"/>
              </w:rPr>
              <w:t>≤15%</w:t>
            </w:r>
          </w:p>
        </w:tc>
        <w:tc>
          <w:tcPr>
            <w:tcW w:w="1276"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楷体_GB2312" w:hAnsi="仿宋" w:eastAsia="楷体_GB2312" w:cs="Times New Roman"/>
                <w:szCs w:val="24"/>
              </w:rPr>
            </w:pPr>
            <w:r>
              <w:rPr>
                <w:rFonts w:hint="eastAsia" w:ascii="楷体_GB2312" w:hAnsi="仿宋" w:eastAsia="楷体_GB2312" w:cs="Times New Roman"/>
                <w:szCs w:val="24"/>
              </w:rPr>
              <w:t>不限</w:t>
            </w:r>
          </w:p>
        </w:tc>
        <w:tc>
          <w:tcPr>
            <w:tcW w:w="1698"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楷体_GB2312" w:hAnsi="仿宋" w:eastAsia="楷体_GB2312" w:cs="Times New Roman"/>
                <w:szCs w:val="24"/>
              </w:rPr>
            </w:pPr>
            <w:r>
              <w:rPr>
                <w:rFonts w:hint="eastAsia" w:ascii="楷体_GB2312" w:hAnsi="仿宋" w:eastAsia="楷体_GB2312" w:cs="Times New Roman"/>
                <w:szCs w:val="24"/>
              </w:rPr>
              <w:t>不限</w:t>
            </w:r>
          </w:p>
        </w:tc>
        <w:tc>
          <w:tcPr>
            <w:tcW w:w="1281"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楷体_GB2312" w:hAnsi="仿宋" w:eastAsia="楷体_GB2312" w:cs="Times New Roman"/>
                <w:szCs w:val="24"/>
              </w:rPr>
            </w:pPr>
            <w:r>
              <w:rPr>
                <w:rFonts w:hint="eastAsia" w:ascii="楷体_GB2312" w:hAnsi="仿宋" w:eastAsia="楷体_GB2312" w:cs="Times New Roman"/>
                <w:szCs w:val="24"/>
              </w:rPr>
              <w:t>不限</w:t>
            </w:r>
          </w:p>
        </w:tc>
      </w:tr>
      <w:tr>
        <w:tblPrEx>
          <w:tblCellMar>
            <w:top w:w="0" w:type="dxa"/>
            <w:left w:w="108" w:type="dxa"/>
            <w:bottom w:w="0" w:type="dxa"/>
            <w:right w:w="108" w:type="dxa"/>
          </w:tblCellMar>
        </w:tblPrEx>
        <w:trPr>
          <w:trHeight w:val="454" w:hRule="atLeast"/>
          <w:jc w:val="center"/>
        </w:trPr>
        <w:tc>
          <w:tcPr>
            <w:tcW w:w="1319" w:type="dxa"/>
            <w:vMerge w:val="restart"/>
            <w:tcBorders>
              <w:top w:val="nil"/>
              <w:left w:val="single" w:color="auto" w:sz="4" w:space="0"/>
              <w:right w:val="single" w:color="auto" w:sz="4" w:space="0"/>
            </w:tcBorders>
            <w:vAlign w:val="center"/>
          </w:tcPr>
          <w:p>
            <w:pPr>
              <w:shd w:val="clear" w:color="auto" w:fill="FFFFFF"/>
              <w:adjustRightInd w:val="0"/>
              <w:snapToGrid w:val="0"/>
              <w:spacing w:line="560" w:lineRule="exact"/>
              <w:rPr>
                <w:rFonts w:ascii="楷体_GB2312" w:hAnsi="黑体" w:eastAsia="楷体_GB2312" w:cs="Times New Roman"/>
                <w:bCs/>
                <w:szCs w:val="24"/>
              </w:rPr>
            </w:pPr>
            <w:r>
              <w:rPr>
                <w:rFonts w:hint="eastAsia" w:ascii="楷体_GB2312" w:hAnsi="黑体" w:eastAsia="楷体_GB2312" w:cs="Times New Roman"/>
                <w:bCs/>
                <w:szCs w:val="24"/>
              </w:rPr>
              <w:t>基本工资</w:t>
            </w:r>
          </w:p>
        </w:tc>
        <w:tc>
          <w:tcPr>
            <w:tcW w:w="1984" w:type="dxa"/>
            <w:tcBorders>
              <w:top w:val="nil"/>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岗位工资</w:t>
            </w:r>
          </w:p>
        </w:tc>
        <w:tc>
          <w:tcPr>
            <w:tcW w:w="1275"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发放</w:t>
            </w:r>
          </w:p>
        </w:tc>
        <w:tc>
          <w:tcPr>
            <w:tcW w:w="1276"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发放</w:t>
            </w:r>
          </w:p>
        </w:tc>
        <w:tc>
          <w:tcPr>
            <w:tcW w:w="1698"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发放</w:t>
            </w:r>
          </w:p>
        </w:tc>
        <w:tc>
          <w:tcPr>
            <w:tcW w:w="1281"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发放</w:t>
            </w:r>
          </w:p>
        </w:tc>
      </w:tr>
      <w:tr>
        <w:tblPrEx>
          <w:tblCellMar>
            <w:top w:w="0" w:type="dxa"/>
            <w:left w:w="108" w:type="dxa"/>
            <w:bottom w:w="0" w:type="dxa"/>
            <w:right w:w="108" w:type="dxa"/>
          </w:tblCellMar>
        </w:tblPrEx>
        <w:trPr>
          <w:trHeight w:val="454" w:hRule="atLeast"/>
          <w:jc w:val="center"/>
        </w:trPr>
        <w:tc>
          <w:tcPr>
            <w:tcW w:w="1319" w:type="dxa"/>
            <w:vMerge w:val="continue"/>
            <w:tcBorders>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楷体_GB2312" w:hAnsi="黑体" w:eastAsia="楷体_GB2312" w:cs="Times New Roman"/>
                <w:bCs/>
                <w:szCs w:val="24"/>
              </w:rPr>
            </w:pPr>
          </w:p>
        </w:tc>
        <w:tc>
          <w:tcPr>
            <w:tcW w:w="1984" w:type="dxa"/>
            <w:tcBorders>
              <w:top w:val="nil"/>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薪级工资</w:t>
            </w:r>
          </w:p>
        </w:tc>
        <w:tc>
          <w:tcPr>
            <w:tcW w:w="1275"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晋升</w:t>
            </w:r>
          </w:p>
        </w:tc>
        <w:tc>
          <w:tcPr>
            <w:tcW w:w="1276"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晋升</w:t>
            </w:r>
          </w:p>
        </w:tc>
        <w:tc>
          <w:tcPr>
            <w:tcW w:w="1698"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不晋升</w:t>
            </w:r>
          </w:p>
        </w:tc>
        <w:tc>
          <w:tcPr>
            <w:tcW w:w="1281"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不晋升</w:t>
            </w:r>
          </w:p>
        </w:tc>
      </w:tr>
      <w:tr>
        <w:tblPrEx>
          <w:tblCellMar>
            <w:top w:w="0" w:type="dxa"/>
            <w:left w:w="108" w:type="dxa"/>
            <w:bottom w:w="0" w:type="dxa"/>
            <w:right w:w="108" w:type="dxa"/>
          </w:tblCellMar>
        </w:tblPrEx>
        <w:trPr>
          <w:trHeight w:val="454" w:hRule="atLeast"/>
          <w:jc w:val="center"/>
        </w:trPr>
        <w:tc>
          <w:tcPr>
            <w:tcW w:w="1319" w:type="dxa"/>
            <w:vMerge w:val="restart"/>
            <w:tcBorders>
              <w:top w:val="nil"/>
              <w:left w:val="single" w:color="auto" w:sz="4" w:space="0"/>
              <w:right w:val="single" w:color="auto" w:sz="4" w:space="0"/>
            </w:tcBorders>
            <w:vAlign w:val="center"/>
          </w:tcPr>
          <w:p>
            <w:pPr>
              <w:shd w:val="clear" w:color="auto" w:fill="FFFFFF"/>
              <w:adjustRightInd w:val="0"/>
              <w:snapToGrid w:val="0"/>
              <w:spacing w:line="560" w:lineRule="exact"/>
              <w:rPr>
                <w:rFonts w:ascii="楷体_GB2312" w:hAnsi="黑体" w:eastAsia="楷体_GB2312" w:cs="Times New Roman"/>
                <w:bCs/>
                <w:szCs w:val="24"/>
              </w:rPr>
            </w:pPr>
            <w:r>
              <w:rPr>
                <w:rFonts w:hint="eastAsia" w:ascii="楷体_GB2312" w:hAnsi="黑体" w:eastAsia="楷体_GB2312" w:cs="Times New Roman"/>
                <w:bCs/>
                <w:szCs w:val="24"/>
              </w:rPr>
              <w:t>绩效工资</w:t>
            </w:r>
          </w:p>
        </w:tc>
        <w:tc>
          <w:tcPr>
            <w:tcW w:w="1984" w:type="dxa"/>
            <w:tcBorders>
              <w:top w:val="nil"/>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rPr>
                <w:rFonts w:ascii="仿宋_GB2312" w:hAnsi="仿宋" w:eastAsia="仿宋_GB2312" w:cs="Times New Roman"/>
                <w:szCs w:val="24"/>
              </w:rPr>
            </w:pPr>
            <w:r>
              <w:rPr>
                <w:rFonts w:hint="eastAsia" w:ascii="仿宋_GB2312" w:hAnsi="仿宋" w:eastAsia="仿宋_GB2312" w:cs="Times New Roman"/>
                <w:szCs w:val="24"/>
              </w:rPr>
              <w:t>基础性绩效工资</w:t>
            </w:r>
          </w:p>
        </w:tc>
        <w:tc>
          <w:tcPr>
            <w:tcW w:w="1275"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rPr>
                <w:rFonts w:ascii="仿宋_GB2312" w:hAnsi="仿宋" w:eastAsia="仿宋_GB2312" w:cs="Times New Roman"/>
                <w:szCs w:val="24"/>
              </w:rPr>
            </w:pPr>
            <w:r>
              <w:rPr>
                <w:rFonts w:hint="eastAsia" w:ascii="仿宋_GB2312" w:hAnsi="仿宋" w:eastAsia="仿宋_GB2312" w:cs="Times New Roman"/>
                <w:szCs w:val="24"/>
              </w:rPr>
              <w:t>全额发放</w:t>
            </w:r>
          </w:p>
        </w:tc>
        <w:tc>
          <w:tcPr>
            <w:tcW w:w="1276"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rPr>
                <w:rFonts w:ascii="仿宋_GB2312" w:hAnsi="仿宋" w:eastAsia="仿宋_GB2312" w:cs="Times New Roman"/>
                <w:szCs w:val="24"/>
              </w:rPr>
            </w:pPr>
            <w:r>
              <w:rPr>
                <w:rFonts w:hint="eastAsia" w:ascii="仿宋_GB2312" w:hAnsi="仿宋" w:eastAsia="仿宋_GB2312" w:cs="Times New Roman"/>
                <w:szCs w:val="24"/>
              </w:rPr>
              <w:t>全额发放</w:t>
            </w:r>
          </w:p>
        </w:tc>
        <w:tc>
          <w:tcPr>
            <w:tcW w:w="1698"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扣发</w:t>
            </w:r>
            <w:r>
              <w:rPr>
                <w:rFonts w:ascii="仿宋_GB2312" w:hAnsi="仿宋" w:eastAsia="仿宋_GB2312" w:cs="Times New Roman"/>
                <w:szCs w:val="24"/>
              </w:rPr>
              <w:t>50%</w:t>
            </w:r>
          </w:p>
        </w:tc>
        <w:tc>
          <w:tcPr>
            <w:tcW w:w="1281" w:type="dxa"/>
            <w:tcBorders>
              <w:top w:val="nil"/>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不发放</w:t>
            </w:r>
          </w:p>
        </w:tc>
      </w:tr>
      <w:tr>
        <w:tblPrEx>
          <w:tblCellMar>
            <w:top w:w="0" w:type="dxa"/>
            <w:left w:w="108" w:type="dxa"/>
            <w:bottom w:w="0" w:type="dxa"/>
            <w:right w:w="108" w:type="dxa"/>
          </w:tblCellMar>
        </w:tblPrEx>
        <w:trPr>
          <w:trHeight w:val="454" w:hRule="atLeast"/>
          <w:jc w:val="center"/>
        </w:trPr>
        <w:tc>
          <w:tcPr>
            <w:tcW w:w="1319" w:type="dxa"/>
            <w:vMerge w:val="continue"/>
            <w:tcBorders>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p>
        </w:tc>
        <w:tc>
          <w:tcPr>
            <w:tcW w:w="1984" w:type="dxa"/>
            <w:tcBorders>
              <w:top w:val="nil"/>
              <w:left w:val="single" w:color="auto" w:sz="4" w:space="0"/>
              <w:bottom w:val="single" w:color="auto" w:sz="4" w:space="0"/>
              <w:right w:val="single" w:color="auto" w:sz="4" w:space="0"/>
            </w:tcBorders>
            <w:vAlign w:val="center"/>
          </w:tcPr>
          <w:p>
            <w:pPr>
              <w:shd w:val="clear" w:color="auto" w:fill="FFFFFF"/>
              <w:adjustRightInd w:val="0"/>
              <w:snapToGrid w:val="0"/>
              <w:spacing w:line="560" w:lineRule="exact"/>
              <w:ind w:left="-151" w:leftChars="-72" w:right="-197" w:rightChars="-94"/>
              <w:rPr>
                <w:rFonts w:ascii="仿宋_GB2312" w:hAnsi="仿宋" w:eastAsia="仿宋_GB2312" w:cs="Times New Roman"/>
                <w:szCs w:val="24"/>
              </w:rPr>
            </w:pPr>
            <w:r>
              <w:rPr>
                <w:rFonts w:hint="eastAsia" w:ascii="仿宋_GB2312" w:hAnsi="仿宋" w:eastAsia="仿宋_GB2312" w:cs="Times New Roman"/>
                <w:szCs w:val="24"/>
              </w:rPr>
              <w:t>年终一次性绩效工资</w:t>
            </w:r>
          </w:p>
        </w:tc>
        <w:tc>
          <w:tcPr>
            <w:tcW w:w="127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line="560" w:lineRule="exact"/>
              <w:rPr>
                <w:rFonts w:ascii="仿宋_GB2312" w:hAnsi="仿宋" w:eastAsia="仿宋_GB2312" w:cs="Times New Roman"/>
                <w:szCs w:val="24"/>
              </w:rPr>
            </w:pPr>
            <w:r>
              <w:rPr>
                <w:rFonts w:hint="eastAsia" w:ascii="仿宋_GB2312" w:hAnsi="仿宋" w:eastAsia="仿宋_GB2312" w:cs="Times New Roman"/>
                <w:szCs w:val="24"/>
              </w:rPr>
              <w:t>全额发放</w:t>
            </w:r>
          </w:p>
        </w:tc>
        <w:tc>
          <w:tcPr>
            <w:tcW w:w="127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line="560" w:lineRule="exact"/>
              <w:rPr>
                <w:rFonts w:ascii="仿宋_GB2312" w:hAnsi="仿宋" w:eastAsia="仿宋_GB2312" w:cs="Times New Roman"/>
                <w:szCs w:val="24"/>
              </w:rPr>
            </w:pPr>
            <w:r>
              <w:rPr>
                <w:rFonts w:hint="eastAsia" w:ascii="仿宋_GB2312" w:hAnsi="仿宋" w:eastAsia="仿宋_GB2312" w:cs="Times New Roman"/>
                <w:szCs w:val="24"/>
              </w:rPr>
              <w:t>全额发放</w:t>
            </w:r>
          </w:p>
        </w:tc>
        <w:tc>
          <w:tcPr>
            <w:tcW w:w="1698"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不发放</w:t>
            </w:r>
          </w:p>
        </w:tc>
        <w:tc>
          <w:tcPr>
            <w:tcW w:w="128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line="560" w:lineRule="exact"/>
              <w:ind w:firstLine="420" w:firstLineChars="200"/>
              <w:rPr>
                <w:rFonts w:ascii="仿宋_GB2312" w:hAnsi="仿宋" w:eastAsia="仿宋_GB2312" w:cs="Times New Roman"/>
                <w:szCs w:val="24"/>
              </w:rPr>
            </w:pPr>
            <w:r>
              <w:rPr>
                <w:rFonts w:hint="eastAsia" w:ascii="仿宋_GB2312" w:hAnsi="仿宋" w:eastAsia="仿宋_GB2312" w:cs="Times New Roman"/>
                <w:szCs w:val="24"/>
              </w:rPr>
              <w:t>不发放</w:t>
            </w:r>
          </w:p>
        </w:tc>
      </w:tr>
    </w:tbl>
    <w:p>
      <w:pPr>
        <w:spacing w:line="520" w:lineRule="exact"/>
        <w:ind w:firstLine="640" w:firstLineChars="200"/>
        <w:rPr>
          <w:rFonts w:hint="eastAsia" w:ascii="仿宋_GB2312" w:hAnsi="仿宋" w:eastAsia="仿宋_GB2312" w:cs="仿宋"/>
          <w:bCs/>
          <w:sz w:val="32"/>
          <w:szCs w:val="32"/>
        </w:rPr>
      </w:pPr>
    </w:p>
    <w:p>
      <w:pPr>
        <w:spacing w:line="52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依据省人社厅印发《关于转发人社部规〔2018〕4号文件做好我省事业单位工作人员奖励工作的通知》（鲁人社发〔2019〕38号）等文件精神，年度考核为优秀档次的，原则上给予嘉奖，连续3年（自</w:t>
      </w:r>
      <w:r>
        <w:rPr>
          <w:rFonts w:ascii="仿宋_GB2312" w:hAnsi="仿宋" w:eastAsia="仿宋_GB2312" w:cs="仿宋"/>
          <w:bCs/>
          <w:sz w:val="32"/>
          <w:szCs w:val="32"/>
        </w:rPr>
        <w:t>2020</w:t>
      </w:r>
      <w:r>
        <w:rPr>
          <w:rFonts w:hint="eastAsia" w:ascii="仿宋_GB2312" w:hAnsi="仿宋" w:eastAsia="仿宋_GB2312" w:cs="仿宋"/>
          <w:bCs/>
          <w:sz w:val="32"/>
          <w:szCs w:val="32"/>
        </w:rPr>
        <w:t>年起）年度考核为优秀档次的，可以记功（比例不超过2%）。按照嘉奖1500元、记功3000元的标准给予一次性奖金。</w:t>
      </w:r>
    </w:p>
    <w:p>
      <w:pPr>
        <w:spacing w:line="520" w:lineRule="exact"/>
        <w:ind w:firstLine="640" w:firstLineChars="200"/>
        <w:rPr>
          <w:rFonts w:ascii="仿宋_GB2312" w:hAnsi="仿宋" w:eastAsia="仿宋_GB2312" w:cs="仿宋"/>
          <w:bCs/>
          <w:sz w:val="32"/>
          <w:szCs w:val="32"/>
          <w:highlight w:val="yellow"/>
        </w:rPr>
      </w:pPr>
      <w:r>
        <w:rPr>
          <w:rFonts w:hint="eastAsia" w:ascii="仿宋_GB2312" w:hAnsi="仿宋" w:eastAsia="仿宋_GB2312" w:cs="仿宋"/>
          <w:bCs/>
          <w:sz w:val="32"/>
          <w:szCs w:val="32"/>
        </w:rPr>
        <w:t>202</w:t>
      </w:r>
      <w:r>
        <w:rPr>
          <w:rFonts w:ascii="仿宋_GB2312" w:hAnsi="仿宋" w:eastAsia="仿宋_GB2312" w:cs="仿宋"/>
          <w:bCs/>
          <w:sz w:val="32"/>
          <w:szCs w:val="32"/>
        </w:rPr>
        <w:t>1</w:t>
      </w:r>
      <w:r>
        <w:rPr>
          <w:rFonts w:hint="eastAsia" w:ascii="仿宋_GB2312" w:hAnsi="仿宋" w:eastAsia="仿宋_GB2312" w:cs="仿宋"/>
          <w:bCs/>
          <w:sz w:val="32"/>
          <w:szCs w:val="32"/>
        </w:rPr>
        <w:t>年工作人员年度考核优秀名额（不含处级干部）</w:t>
      </w:r>
      <w:r>
        <w:rPr>
          <w:rFonts w:hint="eastAsia" w:ascii="仿宋_GB2312" w:hAnsi="仿宋" w:eastAsia="仿宋_GB2312" w:cs="仿宋"/>
          <w:bCs/>
          <w:sz w:val="32"/>
          <w:szCs w:val="32"/>
          <w:lang w:val="en-US" w:eastAsia="zh-CN"/>
        </w:rPr>
        <w:t>通过综合测算下发至各二级单位</w:t>
      </w:r>
      <w:r>
        <w:rPr>
          <w:rFonts w:hint="eastAsia" w:ascii="仿宋_GB2312" w:hAnsi="仿宋" w:eastAsia="仿宋_GB2312" w:cs="仿宋"/>
          <w:sz w:val="32"/>
          <w:szCs w:val="32"/>
        </w:rPr>
        <w:t>。</w:t>
      </w:r>
    </w:p>
    <w:p>
      <w:pPr>
        <w:spacing w:line="520" w:lineRule="exact"/>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四、考核工作组织机构</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学校工作人员年度考核工作领导小组负责全校工作人员年度考核工作。各单位组织成立5-7人的考核工作小组，成员由二级单位负责人、教职工代表组成，负责本单位工作人员年度考核工作的组织实施。</w:t>
      </w:r>
    </w:p>
    <w:p>
      <w:pPr>
        <w:spacing w:line="520" w:lineRule="exact"/>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五、考核程序</w:t>
      </w:r>
    </w:p>
    <w:p>
      <w:pPr>
        <w:spacing w:line="5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（一）学校制定并公布工作人员年度考核工作方案。</w:t>
      </w:r>
    </w:p>
    <w:p>
      <w:pPr>
        <w:spacing w:line="5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（二）个人总结</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述职，工作人员填写《青岛理工大学教师师德师风考核表》（见附件3），并填写《山东省事业单位工作人员年度考核表》（见附件4）填写完成后A4纸正反面打印，本人签名后交至所属单位。</w:t>
      </w:r>
    </w:p>
    <w:p>
      <w:pPr>
        <w:spacing w:line="5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三）二级单位考核工作小组对照有关规定，确定师德考核初步意见和考核档次。经党政联席会研究后报教师工作部。教师工作部审核二级单位的师德考核初步意见，确定师德考核结果，报学校工作人员年度考核领导小组。</w:t>
      </w:r>
    </w:p>
    <w:p>
      <w:pPr>
        <w:spacing w:line="5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（四）各单位根据被考核人日常考核情况和个人总结等对其进行年度考核评价，提出考核档次建议并在单位内进行公示，公示期不少于3个工作日。</w:t>
      </w:r>
    </w:p>
    <w:p>
      <w:pPr>
        <w:spacing w:line="5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（五）学校考核工作领导小组办公室审议考核档次建议，报学校研究确定。对拟确定的考核结果在学校范围内公示，公示期不少于5个工作日。</w:t>
      </w:r>
    </w:p>
    <w:p>
      <w:pPr>
        <w:spacing w:line="5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（六）按规定程序和要求对拟确定为基本合格、不合格档次的工作人员进行组织谈话。</w:t>
      </w:r>
    </w:p>
    <w:p>
      <w:pPr>
        <w:spacing w:line="520" w:lineRule="exact"/>
        <w:ind w:left="319" w:leftChars="152" w:firstLine="320" w:firstLineChars="100"/>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（七）将考核结果以书面形式告知被考核人。将年度考核表</w:t>
      </w:r>
      <w:r>
        <w:rPr>
          <w:rFonts w:hint="eastAsia" w:ascii="仿宋_GB2312" w:hAnsi="仿宋" w:eastAsia="仿宋_GB2312" w:cs="仿宋"/>
          <w:color w:val="000000" w:themeColor="text1"/>
          <w:sz w:val="32"/>
          <w:szCs w:val="32"/>
          <w:lang w:val="en-US" w:eastAsia="zh-CN"/>
          <w14:textFill>
            <w14:solidFill>
              <w14:schemeClr w14:val="tx1"/>
            </w14:solidFill>
          </w14:textFill>
        </w:rPr>
        <w:t>及</w:t>
      </w:r>
      <w:r>
        <w:rPr>
          <w:rFonts w:hint="eastAsia" w:ascii="仿宋_GB2312" w:hAnsi="仿宋" w:eastAsia="仿宋_GB2312" w:cs="仿宋"/>
          <w:sz w:val="32"/>
          <w:szCs w:val="32"/>
        </w:rPr>
        <w:t>师德师风考核表</w:t>
      </w:r>
      <w:r>
        <w:rPr>
          <w:rFonts w:hint="eastAsia" w:ascii="仿宋_GB2312" w:hAnsi="仿宋" w:eastAsia="仿宋_GB2312" w:cs="仿宋"/>
          <w:color w:val="000000" w:themeColor="text1"/>
          <w:sz w:val="32"/>
          <w:szCs w:val="32"/>
          <w14:textFill>
            <w14:solidFill>
              <w14:schemeClr w14:val="tx1"/>
            </w14:solidFill>
          </w14:textFill>
        </w:rPr>
        <w:t>存入工作人员本人档案。</w:t>
      </w:r>
    </w:p>
    <w:p>
      <w:pPr>
        <w:spacing w:line="520" w:lineRule="exact"/>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六、相关问题的处理意见</w:t>
      </w:r>
    </w:p>
    <w:p>
      <w:pPr>
        <w:spacing w:line="52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（一）按照干部管理权限，省管干部年度考核按上级规定执行。</w:t>
      </w:r>
    </w:p>
    <w:p>
      <w:pPr>
        <w:spacing w:line="520" w:lineRule="exact"/>
        <w:rPr>
          <w:rFonts w:ascii="仿宋_GB2312" w:hAnsi="仿宋" w:eastAsia="仿宋_GB2312" w:cs="仿宋"/>
          <w:bCs/>
          <w:sz w:val="32"/>
          <w:szCs w:val="32"/>
          <w:highlight w:val="yellow"/>
        </w:rPr>
      </w:pPr>
      <w:r>
        <w:rPr>
          <w:rFonts w:hint="eastAsia" w:ascii="仿宋_GB2312" w:hAnsi="仿宋" w:eastAsia="仿宋_GB2312" w:cs="仿宋"/>
          <w:bCs/>
          <w:sz w:val="32"/>
          <w:szCs w:val="32"/>
        </w:rPr>
        <w:t>除省管干部外，其余人员均需填写《年度考核表》并参加学校年度考核，</w:t>
      </w:r>
      <w:r>
        <w:rPr>
          <w:rFonts w:hint="eastAsia" w:ascii="仿宋_GB2312" w:hAnsi="仿宋" w:eastAsia="仿宋_GB2312" w:cs="仿宋"/>
          <w:sz w:val="32"/>
          <w:szCs w:val="32"/>
        </w:rPr>
        <w:t>其中处级干部年度考核由学校党委组织部统一组织，专职辅导员年度考核由学生工作处统一组织</w:t>
      </w:r>
      <w:r>
        <w:rPr>
          <w:rFonts w:hint="eastAsia" w:ascii="仿宋_GB2312" w:hAnsi="仿宋" w:eastAsia="仿宋_GB2312" w:cs="仿宋"/>
          <w:bCs/>
          <w:sz w:val="32"/>
          <w:szCs w:val="32"/>
        </w:rPr>
        <w:t>。</w:t>
      </w:r>
    </w:p>
    <w:p>
      <w:pPr>
        <w:spacing w:line="52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合同聘任制人员和聘用在学校相关岗位上的实业公司人员、派遣制人员，由用人部门自主考核,考核结果报学校人事处备案。</w:t>
      </w:r>
    </w:p>
    <w:p>
      <w:pPr>
        <w:spacing w:line="520" w:lineRule="exact"/>
        <w:ind w:firstLine="640" w:firstLineChars="200"/>
        <w:rPr>
          <w:rFonts w:ascii="仿宋_GB2312" w:hAnsi="仿宋" w:eastAsia="仿宋_GB2312" w:cs="仿宋"/>
          <w:bCs/>
          <w:color w:val="FF0000"/>
          <w:sz w:val="32"/>
          <w:szCs w:val="32"/>
        </w:rPr>
      </w:pPr>
      <w:r>
        <w:rPr>
          <w:rFonts w:hint="eastAsia" w:ascii="仿宋_GB2312" w:hAnsi="仿宋" w:eastAsia="仿宋_GB2312" w:cs="仿宋"/>
          <w:bCs/>
          <w:sz w:val="32"/>
          <w:szCs w:val="32"/>
        </w:rPr>
        <w:t>（二）对本年度新进工作人员、学校派出工作人员、请病（事）假工作人员、受政纪党纪处分工作人员、涉嫌违法违纪被立案调查尚未结案工作人员等的年度考核，按照《青岛理工大学工作人员年度考核办法（试行）》“第七章 其他规定”执行，请</w:t>
      </w:r>
      <w:r>
        <w:rPr>
          <w:rFonts w:hint="eastAsia" w:ascii="仿宋_GB2312" w:hAnsi="仿宋" w:eastAsia="仿宋_GB2312" w:cs="仿宋"/>
          <w:sz w:val="32"/>
          <w:szCs w:val="32"/>
        </w:rPr>
        <w:t>各单位考核工作小组认真学习相关内容，严格按照工作要求，遵守工作程序，做好各类工作人员的年度考核工作。</w:t>
      </w:r>
    </w:p>
    <w:p>
      <w:pPr>
        <w:spacing w:line="520" w:lineRule="exact"/>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七、工作要求</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（一）加强组织领导。各</w:t>
      </w:r>
      <w:r>
        <w:rPr>
          <w:rFonts w:hint="eastAsia" w:ascii="仿宋_GB2312" w:hAnsi="仿宋" w:eastAsia="仿宋_GB2312" w:cs="仿宋"/>
          <w:color w:val="000000" w:themeColor="text1"/>
          <w:sz w:val="32"/>
          <w:szCs w:val="32"/>
          <w14:textFill>
            <w14:solidFill>
              <w14:schemeClr w14:val="tx1"/>
            </w14:solidFill>
          </w14:textFill>
        </w:rPr>
        <w:t>单位</w:t>
      </w:r>
      <w:r>
        <w:rPr>
          <w:rFonts w:hint="eastAsia" w:ascii="仿宋_GB2312" w:hAnsi="仿宋" w:eastAsia="仿宋_GB2312" w:cs="仿宋"/>
          <w:sz w:val="32"/>
          <w:szCs w:val="32"/>
        </w:rPr>
        <w:t>要高度重视师德考核与年度考核工作，认真组织工作人员学习《青岛理工大学教师师德考核办法（试行）》《青岛理工大学工作人员年度考核办法（试行）》，统一思想，端正态度，严格按照工作要求和规定的工作程序组织开展考核，不断提高考核工作的整体效能。</w:t>
      </w:r>
    </w:p>
    <w:p>
      <w:pPr>
        <w:spacing w:line="52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严格考核标准。各单位要以高度认真负责的态度，严格按照考核标准进行考核，充分发挥师德考核、年度考核工作的激励和导向作用，加大考核结果的使用力度，使师德考核、年度考核工作真正成为激励、引导广大教职工解放思想、干事创业的有效手段。</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严肃考核工作纪律。考核工应坚持客观公正、实事求是，对在考核过程中有徇私舞弊、打击报复、弄虚作假等行为的，按照有关规定予以严肃处理。经审查和个别抽查、公示，发现因考核工作不负责任出现考核结果严重失实者，撤销相关人员的考核结果，同时追究该部门党政主要负责人责任。</w:t>
      </w:r>
    </w:p>
    <w:p>
      <w:pPr>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（四）按时提交相关材料。各单位须于2022年1月1</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日前完成考核工作，《师德师风考核表》《山东省事业单位工作人员年度考核表》</w:t>
      </w:r>
      <w:r>
        <w:rPr>
          <w:rFonts w:hint="eastAsia" w:ascii="仿宋_GB2312" w:hAnsi="仿宋" w:eastAsia="仿宋_GB2312" w:cs="仿宋"/>
          <w:sz w:val="32"/>
          <w:szCs w:val="32"/>
          <w:lang w:eastAsia="zh-CN"/>
        </w:rPr>
        <w:t>和二级单位</w:t>
      </w:r>
      <w:r>
        <w:rPr>
          <w:rFonts w:hint="eastAsia" w:ascii="仿宋_GB2312" w:hAnsi="仿宋" w:eastAsia="仿宋_GB2312" w:cs="仿宋"/>
          <w:sz w:val="32"/>
          <w:szCs w:val="32"/>
        </w:rPr>
        <w:t>《年度考核情况统计表》《年度考核结果</w:t>
      </w:r>
      <w:r>
        <w:rPr>
          <w:rFonts w:hint="eastAsia" w:ascii="仿宋_GB2312" w:hAnsi="仿宋" w:eastAsia="仿宋_GB2312" w:cs="仿宋"/>
          <w:sz w:val="32"/>
          <w:szCs w:val="32"/>
          <w:lang w:eastAsia="zh-CN"/>
        </w:rPr>
        <w:t>一览表</w:t>
      </w:r>
      <w:r>
        <w:rPr>
          <w:rFonts w:hint="eastAsia" w:ascii="仿宋_GB2312" w:hAnsi="仿宋" w:eastAsia="仿宋_GB2312" w:cs="仿宋"/>
          <w:sz w:val="32"/>
          <w:szCs w:val="32"/>
        </w:rPr>
        <w:t>》经签字、盖章后，报</w:t>
      </w:r>
      <w:r>
        <w:rPr>
          <w:rFonts w:hint="eastAsia" w:ascii="仿宋_GB2312" w:hAnsi="仿宋" w:eastAsia="仿宋_GB2312" w:cs="仿宋"/>
          <w:sz w:val="32"/>
          <w:szCs w:val="32"/>
          <w:lang w:eastAsia="zh-CN"/>
        </w:rPr>
        <w:t>送</w:t>
      </w:r>
      <w:r>
        <w:rPr>
          <w:rFonts w:hint="eastAsia" w:ascii="仿宋_GB2312" w:hAnsi="仿宋" w:eastAsia="仿宋_GB2312" w:cs="仿宋"/>
          <w:sz w:val="32"/>
          <w:szCs w:val="32"/>
        </w:rPr>
        <w:t>人事处聘用考核科（</w:t>
      </w:r>
      <w:r>
        <w:rPr>
          <w:rFonts w:hint="eastAsia" w:ascii="仿宋_GB2312" w:hAnsi="仿宋" w:eastAsia="仿宋_GB2312" w:cs="仿宋"/>
          <w:sz w:val="32"/>
          <w:szCs w:val="32"/>
          <w:lang w:val="en-US" w:eastAsia="zh-CN"/>
        </w:rPr>
        <w:t>综合服务中心</w:t>
      </w:r>
      <w:r>
        <w:rPr>
          <w:rFonts w:hint="eastAsia" w:ascii="仿宋_GB2312" w:hAnsi="仿宋" w:eastAsia="仿宋_GB2312" w:cs="仿宋"/>
          <w:sz w:val="32"/>
          <w:szCs w:val="32"/>
        </w:rPr>
        <w:t>7</w:t>
      </w:r>
      <w:r>
        <w:rPr>
          <w:rFonts w:ascii="仿宋_GB2312" w:hAnsi="仿宋" w:eastAsia="仿宋_GB2312" w:cs="仿宋"/>
          <w:sz w:val="32"/>
          <w:szCs w:val="32"/>
        </w:rPr>
        <w:t>03</w:t>
      </w:r>
      <w:r>
        <w:rPr>
          <w:rFonts w:hint="eastAsia" w:ascii="仿宋_GB2312" w:hAnsi="仿宋" w:eastAsia="仿宋_GB2312" w:cs="仿宋"/>
          <w:sz w:val="32"/>
          <w:szCs w:val="32"/>
        </w:rPr>
        <w:t>室）。</w:t>
      </w:r>
      <w:r>
        <w:rPr>
          <w:rFonts w:hint="eastAsia" w:ascii="仿宋_GB2312" w:hAnsi="仿宋" w:eastAsia="仿宋_GB2312" w:cs="仿宋"/>
          <w:sz w:val="32"/>
          <w:szCs w:val="32"/>
          <w:lang w:eastAsia="zh-CN"/>
        </w:rPr>
        <w:t>同时报送</w:t>
      </w:r>
      <w:r>
        <w:rPr>
          <w:rFonts w:hint="eastAsia" w:ascii="仿宋_GB2312" w:hAnsi="仿宋" w:eastAsia="仿宋_GB2312" w:cs="仿宋"/>
          <w:sz w:val="32"/>
          <w:szCs w:val="32"/>
        </w:rPr>
        <w:t>《年度考核情况统计表》《年度考核结果</w:t>
      </w:r>
      <w:r>
        <w:rPr>
          <w:rFonts w:hint="eastAsia" w:ascii="仿宋_GB2312" w:hAnsi="仿宋" w:eastAsia="仿宋_GB2312" w:cs="仿宋"/>
          <w:sz w:val="32"/>
          <w:szCs w:val="32"/>
          <w:lang w:eastAsia="zh-CN"/>
        </w:rPr>
        <w:t>一览表</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电子版至指定邮箱。</w:t>
      </w:r>
      <w:r>
        <w:rPr>
          <w:rFonts w:hint="eastAsia" w:ascii="仿宋_GB2312" w:hAnsi="仿宋" w:eastAsia="仿宋_GB2312" w:cs="仿宋"/>
          <w:sz w:val="32"/>
          <w:szCs w:val="32"/>
        </w:rPr>
        <w:t>对于年度考核为基本合格、不合格的人员，需</w:t>
      </w:r>
      <w:r>
        <w:rPr>
          <w:rFonts w:hint="eastAsia" w:ascii="仿宋_GB2312" w:hAnsi="仿宋" w:eastAsia="仿宋_GB2312" w:cs="仿宋"/>
          <w:sz w:val="32"/>
          <w:szCs w:val="32"/>
          <w:lang w:eastAsia="zh-CN"/>
        </w:rPr>
        <w:t>同时</w:t>
      </w:r>
      <w:r>
        <w:rPr>
          <w:rFonts w:hint="eastAsia" w:ascii="仿宋_GB2312" w:hAnsi="仿宋" w:eastAsia="仿宋_GB2312" w:cs="仿宋"/>
          <w:sz w:val="32"/>
          <w:szCs w:val="32"/>
        </w:rPr>
        <w:t>提交详细的情况说明</w:t>
      </w:r>
      <w:r>
        <w:rPr>
          <w:rFonts w:hint="eastAsia" w:ascii="仿宋_GB2312" w:hAnsi="仿宋" w:eastAsia="仿宋_GB2312" w:cs="仿宋"/>
          <w:sz w:val="32"/>
          <w:szCs w:val="32"/>
          <w:lang w:eastAsia="zh-CN"/>
        </w:rPr>
        <w:t>。</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联系人：孙照  电话：85071079  邮箱：</w:t>
      </w:r>
      <w:r>
        <w:rPr>
          <w:rFonts w:ascii="仿宋_GB2312" w:hAnsi="仿宋" w:eastAsia="仿宋_GB2312" w:cs="仿宋"/>
          <w:sz w:val="32"/>
          <w:szCs w:val="32"/>
        </w:rPr>
        <w:t>270693953</w:t>
      </w:r>
      <w:r>
        <w:rPr>
          <w:rFonts w:hint="eastAsia" w:ascii="仿宋_GB2312" w:hAnsi="仿宋" w:eastAsia="仿宋_GB2312" w:cs="仿宋"/>
          <w:sz w:val="32"/>
          <w:szCs w:val="32"/>
        </w:rPr>
        <w:t>@qq.com。</w:t>
      </w:r>
    </w:p>
    <w:p>
      <w:pPr>
        <w:spacing w:line="520" w:lineRule="exact"/>
        <w:ind w:firstLine="640" w:firstLineChars="200"/>
        <w:rPr>
          <w:rFonts w:ascii="仿宋_GB2312" w:hAnsi="仿宋" w:eastAsia="仿宋_GB2312" w:cs="仿宋"/>
          <w:sz w:val="32"/>
          <w:szCs w:val="32"/>
        </w:rPr>
      </w:pPr>
    </w:p>
    <w:p>
      <w:pPr>
        <w:spacing w:line="520" w:lineRule="exact"/>
        <w:rPr>
          <w:rFonts w:ascii="仿宋_GB2312" w:hAnsi="仿宋" w:eastAsia="仿宋_GB2312" w:cs="仿宋"/>
          <w:sz w:val="32"/>
          <w:szCs w:val="32"/>
        </w:rPr>
      </w:pPr>
    </w:p>
    <w:p>
      <w:pPr>
        <w:spacing w:line="520" w:lineRule="exact"/>
        <w:rPr>
          <w:rFonts w:ascii="仿宋_GB2312" w:hAnsi="仿宋" w:eastAsia="仿宋_GB2312" w:cs="仿宋"/>
          <w:sz w:val="32"/>
          <w:szCs w:val="32"/>
        </w:rPr>
      </w:pPr>
    </w:p>
    <w:p>
      <w:pPr>
        <w:spacing w:line="520" w:lineRule="exact"/>
        <w:rPr>
          <w:rFonts w:ascii="仿宋_GB2312" w:hAnsi="仿宋" w:eastAsia="仿宋_GB2312" w:cs="仿宋"/>
          <w:sz w:val="32"/>
          <w:szCs w:val="32"/>
        </w:rPr>
      </w:pPr>
    </w:p>
    <w:p>
      <w:pPr>
        <w:spacing w:line="520" w:lineRule="exact"/>
        <w:rPr>
          <w:rFonts w:ascii="仿宋_GB2312" w:hAnsi="仿宋" w:eastAsia="仿宋_GB2312" w:cs="仿宋"/>
          <w:sz w:val="32"/>
          <w:szCs w:val="32"/>
        </w:rPr>
      </w:pPr>
    </w:p>
    <w:p>
      <w:pPr>
        <w:spacing w:line="520" w:lineRule="exact"/>
        <w:jc w:val="right"/>
        <w:rPr>
          <w:rFonts w:ascii="仿宋_GB2312" w:hAnsi="仿宋" w:eastAsia="仿宋_GB2312" w:cs="仿宋"/>
          <w:sz w:val="32"/>
          <w:szCs w:val="32"/>
        </w:rPr>
      </w:pPr>
      <w:r>
        <w:rPr>
          <w:rFonts w:hint="eastAsia" w:ascii="仿宋_GB2312" w:hAnsi="仿宋" w:eastAsia="仿宋_GB2312" w:cs="仿宋"/>
          <w:sz w:val="32"/>
          <w:szCs w:val="32"/>
        </w:rPr>
        <w:t>青岛理工大学人事处</w:t>
      </w:r>
    </w:p>
    <w:p>
      <w:pPr>
        <w:spacing w:line="520" w:lineRule="exact"/>
        <w:jc w:val="right"/>
        <w:rPr>
          <w:rFonts w:ascii="仿宋_GB2312" w:hAnsi="仿宋" w:eastAsia="仿宋_GB2312" w:cs="仿宋"/>
          <w:sz w:val="32"/>
          <w:szCs w:val="32"/>
        </w:rPr>
      </w:pPr>
      <w:r>
        <w:rPr>
          <w:rFonts w:hint="eastAsia" w:ascii="仿宋_GB2312" w:hAnsi="仿宋" w:eastAsia="仿宋_GB2312" w:cs="仿宋"/>
          <w:sz w:val="32"/>
          <w:szCs w:val="32"/>
        </w:rPr>
        <w:t>2021年12月30日</w:t>
      </w:r>
    </w:p>
    <w:p>
      <w:pPr>
        <w:spacing w:line="520" w:lineRule="exact"/>
        <w:rPr>
          <w:rFonts w:ascii="仿宋_GB2312" w:hAnsi="仿宋" w:eastAsia="仿宋_GB2312" w:cs="仿宋"/>
          <w:sz w:val="32"/>
          <w:szCs w:val="32"/>
        </w:rPr>
      </w:pPr>
    </w:p>
    <w:p>
      <w:pPr>
        <w:spacing w:line="520" w:lineRule="exact"/>
        <w:jc w:val="right"/>
        <w:rPr>
          <w:rFonts w:ascii="仿宋_GB2312" w:hAnsi="仿宋" w:eastAsia="仿宋_GB2312" w:cs="仿宋"/>
          <w:sz w:val="32"/>
          <w:szCs w:val="32"/>
        </w:rPr>
      </w:pPr>
    </w:p>
    <w:p>
      <w:pPr>
        <w:spacing w:line="520" w:lineRule="exact"/>
        <w:jc w:val="right"/>
        <w:rPr>
          <w:rFonts w:ascii="仿宋_GB2312" w:hAnsi="仿宋" w:eastAsia="仿宋_GB2312" w:cs="仿宋"/>
          <w:sz w:val="32"/>
          <w:szCs w:val="32"/>
        </w:rPr>
      </w:pPr>
    </w:p>
    <w:p>
      <w:pPr>
        <w:spacing w:line="520" w:lineRule="exact"/>
        <w:jc w:val="right"/>
        <w:rPr>
          <w:rFonts w:ascii="仿宋_GB2312" w:hAnsi="仿宋" w:eastAsia="仿宋_GB2312" w:cs="仿宋"/>
          <w:sz w:val="32"/>
          <w:szCs w:val="32"/>
        </w:rPr>
      </w:pPr>
    </w:p>
    <w:p>
      <w:pPr>
        <w:spacing w:line="520" w:lineRule="exact"/>
        <w:rPr>
          <w:rFonts w:hint="eastAsia"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青岛理工大学工作人员年度考核办法（试行）</w:t>
      </w:r>
    </w:p>
    <w:p>
      <w:pPr>
        <w:spacing w:line="52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2.</w:t>
      </w:r>
      <w:r>
        <w:rPr>
          <w:rFonts w:hint="eastAsia" w:ascii="仿宋_GB2312" w:hAnsi="仿宋" w:eastAsia="仿宋_GB2312" w:cs="仿宋"/>
          <w:sz w:val="32"/>
          <w:szCs w:val="32"/>
        </w:rPr>
        <w:t>青岛理工大学教师师德考核办法（试行）</w:t>
      </w:r>
    </w:p>
    <w:p>
      <w:pPr>
        <w:spacing w:line="52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青岛理工大学师德师风考核表</w:t>
      </w:r>
    </w:p>
    <w:p>
      <w:pPr>
        <w:spacing w:line="52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山东省事业单位工作人员年度考核表</w:t>
      </w:r>
    </w:p>
    <w:p>
      <w:pPr>
        <w:spacing w:line="52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年度考核情况统计表</w:t>
      </w:r>
    </w:p>
    <w:p>
      <w:pPr>
        <w:spacing w:line="52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6</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年度考核</w:t>
      </w:r>
      <w:r>
        <w:rPr>
          <w:rFonts w:hint="eastAsia" w:ascii="仿宋_GB2312" w:hAnsi="仿宋" w:eastAsia="仿宋_GB2312" w:cs="仿宋"/>
          <w:sz w:val="32"/>
          <w:szCs w:val="32"/>
          <w:lang w:val="en-US" w:eastAsia="zh-CN"/>
        </w:rPr>
        <w:t>结果一览表</w:t>
      </w:r>
    </w:p>
    <w:sectPr>
      <w:footerReference r:id="rId3" w:type="default"/>
      <w:pgSz w:w="11906" w:h="16838"/>
      <w:pgMar w:top="1304" w:right="1247" w:bottom="851" w:left="1247" w:header="567"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495474"/>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3E"/>
    <w:rsid w:val="00036914"/>
    <w:rsid w:val="00047B08"/>
    <w:rsid w:val="00056C3A"/>
    <w:rsid w:val="00091598"/>
    <w:rsid w:val="000D0E69"/>
    <w:rsid w:val="000F2B89"/>
    <w:rsid w:val="00107057"/>
    <w:rsid w:val="0013795C"/>
    <w:rsid w:val="001B1C32"/>
    <w:rsid w:val="001D7CC0"/>
    <w:rsid w:val="00214C77"/>
    <w:rsid w:val="0022446A"/>
    <w:rsid w:val="00265E1C"/>
    <w:rsid w:val="002A233E"/>
    <w:rsid w:val="002F5792"/>
    <w:rsid w:val="0031676C"/>
    <w:rsid w:val="0032316F"/>
    <w:rsid w:val="00346B29"/>
    <w:rsid w:val="00367034"/>
    <w:rsid w:val="00384010"/>
    <w:rsid w:val="003A5B47"/>
    <w:rsid w:val="003B27EC"/>
    <w:rsid w:val="003D2B67"/>
    <w:rsid w:val="003F5BDF"/>
    <w:rsid w:val="004156AB"/>
    <w:rsid w:val="00440032"/>
    <w:rsid w:val="004E203D"/>
    <w:rsid w:val="004E453D"/>
    <w:rsid w:val="004E63AA"/>
    <w:rsid w:val="00565860"/>
    <w:rsid w:val="00580BC9"/>
    <w:rsid w:val="0059756F"/>
    <w:rsid w:val="005E6E0A"/>
    <w:rsid w:val="005F61DF"/>
    <w:rsid w:val="00666286"/>
    <w:rsid w:val="00693C12"/>
    <w:rsid w:val="006E166D"/>
    <w:rsid w:val="0070327A"/>
    <w:rsid w:val="007133DD"/>
    <w:rsid w:val="00724AE3"/>
    <w:rsid w:val="007A0BA1"/>
    <w:rsid w:val="00803BED"/>
    <w:rsid w:val="0085618E"/>
    <w:rsid w:val="008E312C"/>
    <w:rsid w:val="00923FC3"/>
    <w:rsid w:val="00942950"/>
    <w:rsid w:val="009D6EA1"/>
    <w:rsid w:val="00A05336"/>
    <w:rsid w:val="00A96C2A"/>
    <w:rsid w:val="00AE2455"/>
    <w:rsid w:val="00B14AAF"/>
    <w:rsid w:val="00B31499"/>
    <w:rsid w:val="00B63F0F"/>
    <w:rsid w:val="00B645D4"/>
    <w:rsid w:val="00B73FE1"/>
    <w:rsid w:val="00B83BB9"/>
    <w:rsid w:val="00BB0034"/>
    <w:rsid w:val="00BE26C2"/>
    <w:rsid w:val="00CA6115"/>
    <w:rsid w:val="00CC2737"/>
    <w:rsid w:val="00CC2ABA"/>
    <w:rsid w:val="00D0207A"/>
    <w:rsid w:val="00D134FA"/>
    <w:rsid w:val="00D544AA"/>
    <w:rsid w:val="00D65098"/>
    <w:rsid w:val="00DA3201"/>
    <w:rsid w:val="00DE367F"/>
    <w:rsid w:val="00E53F9C"/>
    <w:rsid w:val="00E57217"/>
    <w:rsid w:val="00EB163E"/>
    <w:rsid w:val="00EB69D9"/>
    <w:rsid w:val="00EC7793"/>
    <w:rsid w:val="00F02557"/>
    <w:rsid w:val="00F03BF0"/>
    <w:rsid w:val="00F46AA0"/>
    <w:rsid w:val="00F618CA"/>
    <w:rsid w:val="00F72C97"/>
    <w:rsid w:val="00F752DD"/>
    <w:rsid w:val="00F84114"/>
    <w:rsid w:val="00FB533C"/>
    <w:rsid w:val="03D13D59"/>
    <w:rsid w:val="0ACB7751"/>
    <w:rsid w:val="0AD0202B"/>
    <w:rsid w:val="0BFC5F97"/>
    <w:rsid w:val="0ED433DE"/>
    <w:rsid w:val="0F3A748B"/>
    <w:rsid w:val="104B049A"/>
    <w:rsid w:val="10B578CC"/>
    <w:rsid w:val="10EF4F37"/>
    <w:rsid w:val="13DB7CD3"/>
    <w:rsid w:val="145D1B5E"/>
    <w:rsid w:val="157A2739"/>
    <w:rsid w:val="16796BCF"/>
    <w:rsid w:val="185F7A9C"/>
    <w:rsid w:val="1B435EE2"/>
    <w:rsid w:val="1C512EC7"/>
    <w:rsid w:val="1CF55995"/>
    <w:rsid w:val="215B05BF"/>
    <w:rsid w:val="24167B58"/>
    <w:rsid w:val="25DC32E0"/>
    <w:rsid w:val="2AC32AEB"/>
    <w:rsid w:val="2CD15BEA"/>
    <w:rsid w:val="2ED554FC"/>
    <w:rsid w:val="2EDE5888"/>
    <w:rsid w:val="31352743"/>
    <w:rsid w:val="33CC3D21"/>
    <w:rsid w:val="393F1703"/>
    <w:rsid w:val="3AB666E7"/>
    <w:rsid w:val="3CDB0700"/>
    <w:rsid w:val="3D0A78B7"/>
    <w:rsid w:val="406C00DF"/>
    <w:rsid w:val="41EB171E"/>
    <w:rsid w:val="438E4E31"/>
    <w:rsid w:val="43CF186C"/>
    <w:rsid w:val="4532258D"/>
    <w:rsid w:val="470F1C01"/>
    <w:rsid w:val="471D163F"/>
    <w:rsid w:val="47FC0CD4"/>
    <w:rsid w:val="4A535CC7"/>
    <w:rsid w:val="4D9440D0"/>
    <w:rsid w:val="4EFF6643"/>
    <w:rsid w:val="51B000AE"/>
    <w:rsid w:val="52320BE1"/>
    <w:rsid w:val="5290788F"/>
    <w:rsid w:val="541434DE"/>
    <w:rsid w:val="54D21D93"/>
    <w:rsid w:val="57C839E6"/>
    <w:rsid w:val="57CD4172"/>
    <w:rsid w:val="5A296D48"/>
    <w:rsid w:val="5AB072A0"/>
    <w:rsid w:val="5D2C57BE"/>
    <w:rsid w:val="62277269"/>
    <w:rsid w:val="62C81B5C"/>
    <w:rsid w:val="653B778C"/>
    <w:rsid w:val="6A2211C0"/>
    <w:rsid w:val="6C435700"/>
    <w:rsid w:val="6CB63CCD"/>
    <w:rsid w:val="6EA827C8"/>
    <w:rsid w:val="6EFA561F"/>
    <w:rsid w:val="6F7F4815"/>
    <w:rsid w:val="6FFB401D"/>
    <w:rsid w:val="71AA658F"/>
    <w:rsid w:val="74B45D1E"/>
    <w:rsid w:val="760C4791"/>
    <w:rsid w:val="77D07CEB"/>
    <w:rsid w:val="77DB7284"/>
    <w:rsid w:val="78B34E9A"/>
    <w:rsid w:val="7B36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99"/>
    <w:rPr>
      <w:rFonts w:asciiTheme="minorHAnsi" w:hAnsiTheme="minorHAnsi" w:eastAsiaTheme="minorEastAsia" w:cstheme="minorBidi"/>
      <w:kern w:val="2"/>
      <w:sz w:val="18"/>
      <w:szCs w:val="18"/>
    </w:rPr>
  </w:style>
  <w:style w:type="character" w:customStyle="1" w:styleId="13">
    <w:name w:val="fontstyle01"/>
    <w:basedOn w:val="8"/>
    <w:qFormat/>
    <w:uiPriority w:val="0"/>
    <w:rPr>
      <w:rFonts w:hint="eastAsia" w:ascii="黑体" w:hAnsi="黑体" w:eastAsia="黑体"/>
      <w:color w:val="000000"/>
      <w:sz w:val="36"/>
      <w:szCs w:val="36"/>
    </w:rPr>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1</Pages>
  <Words>460</Words>
  <Characters>2628</Characters>
  <Lines>21</Lines>
  <Paragraphs>6</Paragraphs>
  <TotalTime>2</TotalTime>
  <ScaleCrop>false</ScaleCrop>
  <LinksUpToDate>false</LinksUpToDate>
  <CharactersWithSpaces>3082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2020-12-26T11:43:00Z</dcterms:created>
  <dc:creator>wsy</dc:creator>
  <cp:lastModifiedBy>孙照</cp:lastModifiedBy>
  <cp:lastPrinted>2022-01-04T05:46:00Z</cp:lastPrinted>
  <dcterms:modified xsi:type="dcterms:W3CDTF">2022-01-06T02:11:48Z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816E9348FD3F456FBFA836F083C0ABF8</vt:lpwstr>
  </property>
</Properties>
</file>